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AF3" w:rsidRPr="00DA1AF3" w:rsidRDefault="00DA1AF3" w:rsidP="00DA1AF3">
      <w:pPr>
        <w:spacing w:before="100" w:beforeAutospacing="1" w:after="100" w:afterAutospacing="1" w:line="240" w:lineRule="auto"/>
        <w:outlineLvl w:val="0"/>
        <w:rPr>
          <w:rFonts w:ascii="Times New Roman" w:eastAsia="Times New Roman" w:hAnsi="Times New Roman" w:cs="Times New Roman"/>
          <w:b/>
          <w:bCs/>
          <w:kern w:val="36"/>
          <w:sz w:val="48"/>
          <w:szCs w:val="48"/>
          <w:lang w:eastAsia="pl-PL"/>
        </w:rPr>
      </w:pPr>
      <w:r w:rsidRPr="00DA1AF3">
        <w:rPr>
          <w:rFonts w:ascii="Times New Roman" w:eastAsia="Times New Roman" w:hAnsi="Times New Roman" w:cs="Times New Roman"/>
          <w:b/>
          <w:bCs/>
          <w:kern w:val="36"/>
          <w:sz w:val="48"/>
          <w:szCs w:val="48"/>
          <w:lang w:eastAsia="pl-PL"/>
        </w:rPr>
        <w:t xml:space="preserve">Wynagrodzenie za służebność </w:t>
      </w:r>
      <w:proofErr w:type="spellStart"/>
      <w:r w:rsidRPr="00DA1AF3">
        <w:rPr>
          <w:rFonts w:ascii="Times New Roman" w:eastAsia="Times New Roman" w:hAnsi="Times New Roman" w:cs="Times New Roman"/>
          <w:b/>
          <w:bCs/>
          <w:kern w:val="36"/>
          <w:sz w:val="48"/>
          <w:szCs w:val="48"/>
          <w:lang w:eastAsia="pl-PL"/>
        </w:rPr>
        <w:t>przesyłu</w:t>
      </w:r>
      <w:proofErr w:type="spellEnd"/>
    </w:p>
    <w:p w:rsid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Według jakich kryteriów oblicza się </w:t>
      </w:r>
      <w:r w:rsidRPr="00DA1AF3">
        <w:rPr>
          <w:rFonts w:ascii="Times New Roman" w:eastAsia="Times New Roman" w:hAnsi="Times New Roman" w:cs="Times New Roman"/>
          <w:b/>
          <w:bCs/>
          <w:sz w:val="24"/>
          <w:szCs w:val="24"/>
          <w:lang w:eastAsia="pl-PL"/>
        </w:rPr>
        <w:t xml:space="preserve">wynagrodzenie za służebność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b/>
          <w:bCs/>
          <w:sz w:val="24"/>
          <w:szCs w:val="24"/>
          <w:lang w:eastAsia="pl-PL"/>
        </w:rPr>
        <w:t>?</w:t>
      </w:r>
      <w:r w:rsidRPr="00DA1AF3">
        <w:rPr>
          <w:rFonts w:ascii="Times New Roman" w:eastAsia="Times New Roman" w:hAnsi="Times New Roman" w:cs="Times New Roman"/>
          <w:sz w:val="24"/>
          <w:szCs w:val="24"/>
          <w:lang w:eastAsia="pl-PL"/>
        </w:rPr>
        <w:t xml:space="preserve"> Kto dokonuje takich obliczeń i w jaki sposób można je zweryfikować? Czy w umowie musi być jedynie suma wypłacana jednorazowo, czy może być wypłacana okresowo, np. corocznie, jak to ma miejsce przy dzierżawie? Na mojej działce gazownia przeprowadza gazociąg wysokiego ciśnienia. Za wyrażenie zgody na oddanie w służebność wieczystą potrzebnego gruntu zaproponowano mi jednorazowe odszkodowanie w moim odczuciu nieproporcjonalnie niskie w stosunku do uraty wartości handlowej mojej działki.</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Po analizie przedstawionego przez Panią stanu faktycznego sprawy stwierdzić należy, iż pod pojęciem odszkodowania, o którym Pan pisze, rozumieć należałoby raczej </w:t>
      </w:r>
      <w:r w:rsidRPr="00DA1AF3">
        <w:rPr>
          <w:rFonts w:ascii="Times New Roman" w:eastAsia="Times New Roman" w:hAnsi="Times New Roman" w:cs="Times New Roman"/>
          <w:b/>
          <w:bCs/>
          <w:sz w:val="24"/>
          <w:szCs w:val="24"/>
          <w:lang w:eastAsia="pl-PL"/>
        </w:rPr>
        <w:t xml:space="preserve">wynagrodzenie z tytułu ustanowienia odpłatnej służebności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 mającą obciążyć Pani nieruchomość.</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Na wstępie bowiem wskazać należy, że opisana przez Panią inwestycja odpowiada regulacji przepisu art. 305</w:t>
      </w:r>
      <w:r w:rsidRPr="00DA1AF3">
        <w:rPr>
          <w:rFonts w:ascii="Times New Roman" w:eastAsia="Times New Roman" w:hAnsi="Times New Roman" w:cs="Times New Roman"/>
          <w:sz w:val="24"/>
          <w:szCs w:val="24"/>
          <w:vertAlign w:val="superscript"/>
          <w:lang w:eastAsia="pl-PL"/>
        </w:rPr>
        <w:t>1</w:t>
      </w:r>
      <w:r w:rsidRPr="00DA1AF3">
        <w:rPr>
          <w:rFonts w:ascii="Times New Roman" w:eastAsia="Times New Roman" w:hAnsi="Times New Roman" w:cs="Times New Roman"/>
          <w:sz w:val="24"/>
          <w:szCs w:val="24"/>
          <w:lang w:eastAsia="pl-PL"/>
        </w:rPr>
        <w:t xml:space="preserve"> Kodeksu cywilnego, zgodnie z którym „nieruchomość można obciążyć na rzecz przedsiębiorcy, który zamierza wybudować lub którego własność stanowią urządzenia, o których mowa w art. 49 § 1, prawem polegającym na tym, że przedsiębiorca może korzystać w oznaczonym zakresie z nieruchomości obciążonej, zgodnie z przeznaczeniem tych urządzeń (służebność </w:t>
      </w:r>
      <w:proofErr w:type="spellStart"/>
      <w:r w:rsidRPr="00DA1AF3">
        <w:rPr>
          <w:rFonts w:ascii="Times New Roman" w:eastAsia="Times New Roman" w:hAnsi="Times New Roman" w:cs="Times New Roman"/>
          <w:sz w:val="24"/>
          <w:szCs w:val="24"/>
          <w:lang w:eastAsia="pl-PL"/>
        </w:rPr>
        <w:t>przesyłu</w:t>
      </w:r>
      <w:proofErr w:type="spellEnd"/>
      <w:r w:rsidRPr="00DA1AF3">
        <w:rPr>
          <w:rFonts w:ascii="Times New Roman" w:eastAsia="Times New Roman" w:hAnsi="Times New Roman" w:cs="Times New Roman"/>
          <w:sz w:val="24"/>
          <w:szCs w:val="24"/>
          <w:lang w:eastAsia="pl-PL"/>
        </w:rPr>
        <w:t>)”.</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Wobec powyższego sięgnąć należy również do treści przepisu art. 305</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 xml:space="preserve">, którego § 1 stanowi, że „jeżeli właściciel nieruchomości odmawia zawarcia umowy o ustanowienie służebności </w:t>
      </w:r>
      <w:proofErr w:type="spellStart"/>
      <w:r w:rsidRPr="00DA1AF3">
        <w:rPr>
          <w:rFonts w:ascii="Times New Roman" w:eastAsia="Times New Roman" w:hAnsi="Times New Roman" w:cs="Times New Roman"/>
          <w:sz w:val="24"/>
          <w:szCs w:val="24"/>
          <w:lang w:eastAsia="pl-PL"/>
        </w:rPr>
        <w:t>przesyłu</w:t>
      </w:r>
      <w:proofErr w:type="spellEnd"/>
      <w:r w:rsidRPr="00DA1AF3">
        <w:rPr>
          <w:rFonts w:ascii="Times New Roman" w:eastAsia="Times New Roman" w:hAnsi="Times New Roman" w:cs="Times New Roman"/>
          <w:sz w:val="24"/>
          <w:szCs w:val="24"/>
          <w:lang w:eastAsia="pl-PL"/>
        </w:rPr>
        <w:t>, a jest ona konieczna dla właściwego korzystania z urządzeń, o których mowa w art. 49 § 1, przedsiębiorca może żądać jej ustanowienia za odpowiednim wynagrodzeniem”.</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Z kolei zaś § 2 mówi o tym, że „jeżeli przedsiębiorca odmawia zawarcia umowy o ustanowienie służebności </w:t>
      </w:r>
      <w:proofErr w:type="spellStart"/>
      <w:r w:rsidRPr="00DA1AF3">
        <w:rPr>
          <w:rFonts w:ascii="Times New Roman" w:eastAsia="Times New Roman" w:hAnsi="Times New Roman" w:cs="Times New Roman"/>
          <w:sz w:val="24"/>
          <w:szCs w:val="24"/>
          <w:lang w:eastAsia="pl-PL"/>
        </w:rPr>
        <w:t>przesyłu</w:t>
      </w:r>
      <w:proofErr w:type="spellEnd"/>
      <w:r w:rsidRPr="00DA1AF3">
        <w:rPr>
          <w:rFonts w:ascii="Times New Roman" w:eastAsia="Times New Roman" w:hAnsi="Times New Roman" w:cs="Times New Roman"/>
          <w:sz w:val="24"/>
          <w:szCs w:val="24"/>
          <w:lang w:eastAsia="pl-PL"/>
        </w:rPr>
        <w:t xml:space="preserve">, a jest ona konieczna do korzystania z urządzeń, o których mowa w art. 49 § 1, właściciel nieruchomości może żądać odpowiedniego wynagrodzenia w zamian za ustanowienie służebności </w:t>
      </w:r>
      <w:proofErr w:type="spellStart"/>
      <w:r w:rsidRPr="00DA1AF3">
        <w:rPr>
          <w:rFonts w:ascii="Times New Roman" w:eastAsia="Times New Roman" w:hAnsi="Times New Roman" w:cs="Times New Roman"/>
          <w:sz w:val="24"/>
          <w:szCs w:val="24"/>
          <w:lang w:eastAsia="pl-PL"/>
        </w:rPr>
        <w:t>przesyłu</w:t>
      </w:r>
      <w:proofErr w:type="spellEnd"/>
      <w:r w:rsidRPr="00DA1AF3">
        <w:rPr>
          <w:rFonts w:ascii="Times New Roman" w:eastAsia="Times New Roman" w:hAnsi="Times New Roman" w:cs="Times New Roman"/>
          <w:sz w:val="24"/>
          <w:szCs w:val="24"/>
          <w:lang w:eastAsia="pl-PL"/>
        </w:rPr>
        <w:t>”.</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br/>
        <w:t xml:space="preserve">Interesuje Cię ten temat i chcesz wiedzieć więcej? – </w:t>
      </w:r>
      <w:hyperlink r:id="rId5" w:tgtFrame="_top" w:history="1">
        <w:r w:rsidRPr="00DA1AF3">
          <w:rPr>
            <w:rFonts w:ascii="Times New Roman" w:eastAsia="Times New Roman" w:hAnsi="Times New Roman" w:cs="Times New Roman"/>
            <w:b/>
            <w:bCs/>
            <w:color w:val="0000FF"/>
            <w:sz w:val="24"/>
            <w:szCs w:val="24"/>
            <w:u w:val="single"/>
            <w:lang w:eastAsia="pl-PL"/>
          </w:rPr>
          <w:t>kliknij tutaj i zapytaj prawnika &gt;&gt;</w:t>
        </w:r>
      </w:hyperlink>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Kwestią zatem wymagającą ustalenia w Pani sprawie jest to, w jaki sposób należy ustalić wysokość </w:t>
      </w:r>
      <w:r w:rsidRPr="00DA1AF3">
        <w:rPr>
          <w:rFonts w:ascii="Times New Roman" w:eastAsia="Times New Roman" w:hAnsi="Times New Roman" w:cs="Times New Roman"/>
          <w:b/>
          <w:bCs/>
          <w:sz w:val="24"/>
          <w:szCs w:val="24"/>
          <w:lang w:eastAsia="pl-PL"/>
        </w:rPr>
        <w:t xml:space="preserve">wynagrodzenia za służebność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Po pierwsze wskazać należy, iż </w:t>
      </w:r>
      <w:r w:rsidRPr="00DA1AF3">
        <w:rPr>
          <w:rFonts w:ascii="Times New Roman" w:eastAsia="Times New Roman" w:hAnsi="Times New Roman" w:cs="Times New Roman"/>
          <w:b/>
          <w:bCs/>
          <w:sz w:val="24"/>
          <w:szCs w:val="24"/>
          <w:lang w:eastAsia="pl-PL"/>
        </w:rPr>
        <w:t xml:space="preserve">wynagrodzenie za służebność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 xml:space="preserve"> może zostać ustalone jako świadczenie jednorazowe lub okresowe (miesięczne, kwartalne, roczne).</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lastRenderedPageBreak/>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Po drugie, jak podnosi się w literaturze przedmiotu [tak m.in. </w:t>
      </w:r>
      <w:r w:rsidRPr="00DA1AF3">
        <w:rPr>
          <w:rFonts w:ascii="Times New Roman" w:eastAsia="Times New Roman" w:hAnsi="Times New Roman" w:cs="Times New Roman"/>
          <w:i/>
          <w:iCs/>
          <w:sz w:val="24"/>
          <w:szCs w:val="24"/>
          <w:lang w:eastAsia="pl-PL"/>
        </w:rPr>
        <w:t>K. Pietrzykowski</w:t>
      </w:r>
      <w:r w:rsidRPr="00DA1AF3">
        <w:rPr>
          <w:rFonts w:ascii="Times New Roman" w:eastAsia="Times New Roman" w:hAnsi="Times New Roman" w:cs="Times New Roman"/>
          <w:sz w:val="24"/>
          <w:szCs w:val="24"/>
          <w:lang w:eastAsia="pl-PL"/>
        </w:rPr>
        <w:t xml:space="preserve"> (red.), </w:t>
      </w:r>
      <w:r w:rsidRPr="00DA1AF3">
        <w:rPr>
          <w:rFonts w:ascii="Times New Roman" w:eastAsia="Times New Roman" w:hAnsi="Times New Roman" w:cs="Times New Roman"/>
          <w:i/>
          <w:iCs/>
          <w:sz w:val="24"/>
          <w:szCs w:val="24"/>
          <w:lang w:eastAsia="pl-PL"/>
        </w:rPr>
        <w:t>Kodeks cywilny. Komentarz</w:t>
      </w:r>
      <w:r w:rsidRPr="00DA1AF3">
        <w:rPr>
          <w:rFonts w:ascii="Times New Roman" w:eastAsia="Times New Roman" w:hAnsi="Times New Roman" w:cs="Times New Roman"/>
          <w:sz w:val="24"/>
          <w:szCs w:val="24"/>
          <w:lang w:eastAsia="pl-PL"/>
        </w:rPr>
        <w:t>, Warszawa 2011, t. 1, wyd. 6], „Kodeks cywilny, stanowiąc o odpowiednim wynagrodzeniu, nie wskazuje kryteriów ustalenia jego wysokości, a także nie przesądza, że chodzi o wynagrodzenie w postaci świadczenia pieniężnego, jednorazowe lub okresowe. Ustalając wynagrodzenie, należy mieć na względzie wpływ obciążenia i usytuowania na nieruchomości urządzeń, na jej wartość, uciążliwość dla właściciela w zakresie prawidłowej eksploatacji rzeczy w ramach wykonywania jego prawa, przeznaczenie nieruchomości oraz sposób korzystania z urządzeń przesyłowych i ich charakter (wielkość, wpływ ich funkcjonowania na otoczenie, przeznaczenie)”.</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W związku zatem z tym, że wysokość </w:t>
      </w:r>
      <w:r w:rsidRPr="00DA1AF3">
        <w:rPr>
          <w:rFonts w:ascii="Times New Roman" w:eastAsia="Times New Roman" w:hAnsi="Times New Roman" w:cs="Times New Roman"/>
          <w:b/>
          <w:bCs/>
          <w:sz w:val="24"/>
          <w:szCs w:val="24"/>
          <w:lang w:eastAsia="pl-PL"/>
        </w:rPr>
        <w:t xml:space="preserve">wynagrodzenia z tytułu ustanowienia służebności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 xml:space="preserve"> nie jest wprost przez ustawodawcę definiowana i określana kwotowo, zależy ona każdorazowo od dokonanej wyceny takiego prawa, czego sąd dokonuje przy pomocy właściwych biegłych sądowych.</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O ile, jak również podnosi się w orzecznictwie, na wysokość wynagrodzenia wpływ ma lub może mieć więcej czynników niż zwykła ekonomiczna kalkulacja oparta na stawkach czynszu dzierżawy bądź najmu nieruchomości zbliżonych, o tyle metoda ta daje w praktyce najbardziej wymierne wyniki i zdaje się być w najmniejszym stopniu dotknięta błędem.</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Nic nie stoi zatem na przeszkodzie, aby Pani we własnym zakresie podjęła się próby wyceny tego </w:t>
      </w:r>
      <w:r w:rsidRPr="00DA1AF3">
        <w:rPr>
          <w:rFonts w:ascii="Times New Roman" w:eastAsia="Times New Roman" w:hAnsi="Times New Roman" w:cs="Times New Roman"/>
          <w:b/>
          <w:bCs/>
          <w:sz w:val="24"/>
          <w:szCs w:val="24"/>
          <w:lang w:eastAsia="pl-PL"/>
        </w:rPr>
        <w:t xml:space="preserve">wynagrodzenia za służebność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 Przy dokonywaniu takiej wyceny należy wziąć pod uwagę długość linii gazociągu mającej przebiegać przez Pani grunt, jego szerokość, długość i szerokość drogi dojazdowej do tej linii (jeżeli droga taka miałaby powstać, choćby w postaci „wyjeżdżonego” lub utwardzonego pasa gruntu).</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Przykładowo:</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długość linii gazociągu przebiegającej przez działkę: 50 m (szerokość linii wraz z tzw. pasem technicznym 3 m),</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powierzchnia zajętego gruntu: 150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odległość pomiędzy linią a najbliższą drogą publiczną (droga dojazdowa): 50 m (szerokość drogi 2,5 m),</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powierzchnia zajętego gruntu: 125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miesięczna cena dzierżawy 1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 xml:space="preserve"> tego rodzaju działki: 3 zł,</w:t>
      </w:r>
    </w:p>
    <w:p w:rsidR="00DA1AF3" w:rsidRPr="00DA1AF3" w:rsidRDefault="00DA1AF3" w:rsidP="00DA1AF3">
      <w:pPr>
        <w:numPr>
          <w:ilvl w:val="0"/>
          <w:numId w:val="1"/>
        </w:num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wynagrodzenie miesięczne = [3 zł x (150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 xml:space="preserve"> + 125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 = 825 zł.</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lastRenderedPageBreak/>
        <w:t>Jeżeli natomiast linia nie miałaby posiadać drogi dojazdowej, to wynagrodzenie miesięczne według tego przykładu powinno wynieść: 3 zł x 150 m</w:t>
      </w:r>
      <w:r w:rsidRPr="00DA1AF3">
        <w:rPr>
          <w:rFonts w:ascii="Times New Roman" w:eastAsia="Times New Roman" w:hAnsi="Times New Roman" w:cs="Times New Roman"/>
          <w:sz w:val="24"/>
          <w:szCs w:val="24"/>
          <w:vertAlign w:val="superscript"/>
          <w:lang w:eastAsia="pl-PL"/>
        </w:rPr>
        <w:t>2</w:t>
      </w:r>
      <w:r w:rsidRPr="00DA1AF3">
        <w:rPr>
          <w:rFonts w:ascii="Times New Roman" w:eastAsia="Times New Roman" w:hAnsi="Times New Roman" w:cs="Times New Roman"/>
          <w:sz w:val="24"/>
          <w:szCs w:val="24"/>
          <w:lang w:eastAsia="pl-PL"/>
        </w:rPr>
        <w:t xml:space="preserve"> = 450 zł.</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Natomiast ustalając jednorazowe wynagrodzenie z tytułu ustanowienia służebności, można przyjąć, że wyniesie ono równowartość np. sumy czynszów za okres 10 lat, co w podanym przykładzie stanowiłoby odpowiednio 99 000 zł (825 zł x 120 miesięcy = 99 000 zł) lub 54 000 zł (450 zł x 120 miesięcy = 54 000 zł).</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Warto również sięgnąć do miejscowego planu zagospodarowania przestrzennego, gdzie często określa się szerokości strefy ochronnej dla linii gazociągów, która obejmuje obszar w sąsiedztwie linii, który nie może zostać zabudowany.</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xml:space="preserve">Mając zatem powyższe na uwadze, niezbędnymi dokumentami do dokonania przez Panią wyceny wartości </w:t>
      </w:r>
      <w:r w:rsidRPr="00DA1AF3">
        <w:rPr>
          <w:rFonts w:ascii="Times New Roman" w:eastAsia="Times New Roman" w:hAnsi="Times New Roman" w:cs="Times New Roman"/>
          <w:b/>
          <w:bCs/>
          <w:sz w:val="24"/>
          <w:szCs w:val="24"/>
          <w:lang w:eastAsia="pl-PL"/>
        </w:rPr>
        <w:t xml:space="preserve">wynagrodzenia za ustalenie służebności </w:t>
      </w:r>
      <w:proofErr w:type="spellStart"/>
      <w:r w:rsidRPr="00DA1AF3">
        <w:rPr>
          <w:rFonts w:ascii="Times New Roman" w:eastAsia="Times New Roman" w:hAnsi="Times New Roman" w:cs="Times New Roman"/>
          <w:b/>
          <w:bCs/>
          <w:sz w:val="24"/>
          <w:szCs w:val="24"/>
          <w:lang w:eastAsia="pl-PL"/>
        </w:rPr>
        <w:t>przesyłu</w:t>
      </w:r>
      <w:proofErr w:type="spellEnd"/>
      <w:r w:rsidRPr="00DA1AF3">
        <w:rPr>
          <w:rFonts w:ascii="Times New Roman" w:eastAsia="Times New Roman" w:hAnsi="Times New Roman" w:cs="Times New Roman"/>
          <w:sz w:val="24"/>
          <w:szCs w:val="24"/>
          <w:lang w:eastAsia="pl-PL"/>
        </w:rPr>
        <w:t xml:space="preserve"> byłyby przede wszystkim plany i projekty linii, z których mogłaby Pani pozyskać wymiary linii, a także dane dotyczące stawek czynszu dzierżawy bądź najmu nieruchomości podobnych do należącej do Pani z możliwie tego samego rejonu, w którym położona jest Pani nieruchomość, oraz informacje z miejscowego planu zagospodarowania przestrzennego.</w:t>
      </w: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 </w:t>
      </w:r>
    </w:p>
    <w:p w:rsid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r w:rsidRPr="00DA1AF3">
        <w:rPr>
          <w:rFonts w:ascii="Times New Roman" w:eastAsia="Times New Roman" w:hAnsi="Times New Roman" w:cs="Times New Roman"/>
          <w:sz w:val="24"/>
          <w:szCs w:val="24"/>
          <w:lang w:eastAsia="pl-PL"/>
        </w:rPr>
        <w:t>Natomiast ustanawiając służebność, nie uwzględnia się już utraty wartości rynkowej przez taką nieruchomość (poza tym dużo korzystniejszym ekonomicznie rozwiązaniem dla właściciela nieruchomości jest właśnie ustanowienie służebności niż ubieganie się o odszkodowanie z tytułu utraty wartości rynkowej przez tę nieruchomość wobec prowadzonej na niej inwestycji).</w:t>
      </w:r>
    </w:p>
    <w:p w:rsidR="005E1D23" w:rsidRDefault="005E1D23" w:rsidP="005E1D23">
      <w:pPr>
        <w:pStyle w:val="Nagwek1"/>
      </w:pPr>
      <w:r>
        <w:t xml:space="preserve">Zasady określania wynagrodzenia za ustanowienie służebności </w:t>
      </w:r>
      <w:proofErr w:type="spellStart"/>
      <w:r>
        <w:t>przesyłu</w:t>
      </w:r>
      <w:proofErr w:type="spellEnd"/>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 xml:space="preserve">Właścicielom nieruchomości przysługuje roszczenie o ustanowienie odpłatnej służebności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xml:space="preserve"> z tytułu istniejących bądź nowoprojektowanych urządzeń przesyłowych na ich nieruchomościach. Jednak w obecnym stanie prawnym przepisy nie określają, w jaki sposób powinna być ustalona wysokość wynagrodzenia za ustanowienie służebność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xml:space="preserve">. Brak jest również uzgodnionego krajowego standardu wyceny tej służebności (obecnie trwają jednak prace nad przygotowaniem standardu wyceny zatytułowanego "Określanie wartości służebności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xml:space="preserve"> oraz wynagrodzenia za bezumowne korzystanie z nieruchomości na potrzeby urządzeń przesyłowych", KSWS-4, datowanego na 14 grudnia 2013 r.). Oznacza to, iż mamy do czynienia z równoprawnością różnych dostępnych standardów oraz wolnością w wyborze metody wyceny, która będzie najlepiej odpowiadać okolicznościom danej sprawy.</w:t>
      </w: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lastRenderedPageBreak/>
        <w:t xml:space="preserve">Mając na uwadze aktualne orzecznictwo sądowe można wskazać, że wynagrodzenie za ustanowienie służebności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xml:space="preserve"> powinno obejmować:</w:t>
      </w:r>
    </w:p>
    <w:p w:rsidR="005E1D23" w:rsidRPr="005E1D23" w:rsidRDefault="005E1D23" w:rsidP="005E1D2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Wynagrodzenie za korzystanie przez przedsiębiorstwo przesyłowe z nieruchomości,</w:t>
      </w:r>
    </w:p>
    <w:p w:rsidR="005E1D23" w:rsidRPr="005E1D23" w:rsidRDefault="005E1D23" w:rsidP="005E1D2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Odszkodowanie za obniżenie wartości nieruchomości z tytułu wybudowania na niej urządzeń przesyłowych (o ile spadek wartości rzeczywiście nastąpił),</w:t>
      </w:r>
    </w:p>
    <w:p w:rsidR="005E1D23" w:rsidRPr="005E1D23" w:rsidRDefault="005E1D23" w:rsidP="005E1D23">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Odszkodowanie za inne szkody (w tym utracone korzyści) powstałe na skutek wybudowania na nieruchomości urządzeń przesyłowych.</w:t>
      </w: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Ponadto powinno to być wynagrodzenie jednorazowe, co jednak nie wyklucza możliwości rozłożenia jego zapłaty na raty (wyrok SN z dnia 27.02.2013, IV CSK 440/12).</w:t>
      </w:r>
    </w:p>
    <w:p w:rsidR="005E1D23" w:rsidRPr="005E1D23" w:rsidRDefault="005E1D23" w:rsidP="005E1D23">
      <w:pPr>
        <w:spacing w:after="0" w:line="240" w:lineRule="auto"/>
        <w:rPr>
          <w:rFonts w:ascii="Times New Roman" w:eastAsia="Times New Roman" w:hAnsi="Times New Roman" w:cs="Times New Roman"/>
          <w:sz w:val="24"/>
          <w:szCs w:val="24"/>
          <w:lang w:eastAsia="pl-PL"/>
        </w:rPr>
      </w:pP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 xml:space="preserve">W orzecznictwie wskazuje się, iż nie jest adekwatne określanie wysokości wynagrodzenia za służebność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xml:space="preserve"> w oparciu o ceny rynkowe wynajmu lub dzierżawy gruntu (por. </w:t>
      </w:r>
      <w:proofErr w:type="spellStart"/>
      <w:r w:rsidRPr="005E1D23">
        <w:rPr>
          <w:rFonts w:ascii="Times New Roman" w:eastAsia="Times New Roman" w:hAnsi="Times New Roman" w:cs="Times New Roman"/>
          <w:sz w:val="24"/>
          <w:szCs w:val="24"/>
          <w:lang w:eastAsia="pl-PL"/>
        </w:rPr>
        <w:t>np</w:t>
      </w:r>
      <w:proofErr w:type="spellEnd"/>
      <w:r w:rsidRPr="005E1D23">
        <w:rPr>
          <w:rFonts w:ascii="Times New Roman" w:eastAsia="Times New Roman" w:hAnsi="Times New Roman" w:cs="Times New Roman"/>
          <w:sz w:val="24"/>
          <w:szCs w:val="24"/>
          <w:lang w:eastAsia="pl-PL"/>
        </w:rPr>
        <w:t xml:space="preserve">: wyrok SN z 28.09.2011, IV CSK 84/11, wyrok SN z 18.04.2013, II CSK 504/12, wyrok SA w Warszawie z 11.07.2012, sygn. akt I </w:t>
      </w:r>
      <w:proofErr w:type="spellStart"/>
      <w:r w:rsidRPr="005E1D23">
        <w:rPr>
          <w:rFonts w:ascii="Times New Roman" w:eastAsia="Times New Roman" w:hAnsi="Times New Roman" w:cs="Times New Roman"/>
          <w:sz w:val="24"/>
          <w:szCs w:val="24"/>
          <w:lang w:eastAsia="pl-PL"/>
        </w:rPr>
        <w:t>Aca</w:t>
      </w:r>
      <w:proofErr w:type="spellEnd"/>
      <w:r w:rsidRPr="005E1D23">
        <w:rPr>
          <w:rFonts w:ascii="Times New Roman" w:eastAsia="Times New Roman" w:hAnsi="Times New Roman" w:cs="Times New Roman"/>
          <w:sz w:val="24"/>
          <w:szCs w:val="24"/>
          <w:lang w:eastAsia="pl-PL"/>
        </w:rPr>
        <w:t xml:space="preserve"> 334/11).</w:t>
      </w:r>
    </w:p>
    <w:p w:rsidR="005E1D23" w:rsidRPr="005E1D23" w:rsidRDefault="005E1D23" w:rsidP="005E1D23">
      <w:pPr>
        <w:spacing w:after="0" w:line="240" w:lineRule="auto"/>
        <w:rPr>
          <w:rFonts w:ascii="Times New Roman" w:eastAsia="Times New Roman" w:hAnsi="Times New Roman" w:cs="Times New Roman"/>
          <w:sz w:val="24"/>
          <w:szCs w:val="24"/>
          <w:lang w:eastAsia="pl-PL"/>
        </w:rPr>
      </w:pP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Elementami wpływającymi na wysokość wynagrodzenia powinny zatem być: wartość rynkowa 1 m2 nieobciążonej nieruchomości (jako górna granica wynagrodzenia), wielkość pasa nieruchomości objętego oddziaływaniem urządzeń przesyłowych (tzw. strefa ograniczonego użytkowania), stopień ograniczenia możliwości korzystania z zajętego przez urządzenie pasa gruntu przez właściciela nieruchomości (wynagrodzenie powinno być proporcjonalne do stopnia tej ingerencji) oraz stopień zmniejszenia wartości nieruchomości w strefie ograniczonego użytkowania.</w:t>
      </w:r>
    </w:p>
    <w:p w:rsidR="005E1D23" w:rsidRPr="005E1D23" w:rsidRDefault="005E1D23" w:rsidP="005E1D23">
      <w:pPr>
        <w:spacing w:after="0" w:line="240" w:lineRule="auto"/>
        <w:rPr>
          <w:rFonts w:ascii="Times New Roman" w:eastAsia="Times New Roman" w:hAnsi="Times New Roman" w:cs="Times New Roman"/>
          <w:sz w:val="24"/>
          <w:szCs w:val="24"/>
          <w:lang w:eastAsia="pl-PL"/>
        </w:rPr>
      </w:pPr>
    </w:p>
    <w:p w:rsidR="005E1D23" w:rsidRPr="005E1D23" w:rsidRDefault="005E1D23" w:rsidP="005E1D23">
      <w:pPr>
        <w:spacing w:after="0" w:line="240" w:lineRule="auto"/>
        <w:jc w:val="both"/>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 xml:space="preserve">Z kolei na powierzchnię pasa służebności </w:t>
      </w:r>
      <w:proofErr w:type="spellStart"/>
      <w:r w:rsidRPr="005E1D23">
        <w:rPr>
          <w:rFonts w:ascii="Times New Roman" w:eastAsia="Times New Roman" w:hAnsi="Times New Roman" w:cs="Times New Roman"/>
          <w:sz w:val="24"/>
          <w:szCs w:val="24"/>
          <w:lang w:eastAsia="pl-PL"/>
        </w:rPr>
        <w:t>przesyłu</w:t>
      </w:r>
      <w:proofErr w:type="spellEnd"/>
      <w:r w:rsidRPr="005E1D23">
        <w:rPr>
          <w:rFonts w:ascii="Times New Roman" w:eastAsia="Times New Roman" w:hAnsi="Times New Roman" w:cs="Times New Roman"/>
          <w:sz w:val="24"/>
          <w:szCs w:val="24"/>
          <w:lang w:eastAsia="pl-PL"/>
        </w:rPr>
        <w:t>, czyli strefy gruntu o ograniczonym użytkowaniu, wpływa wielkości pasa niezbędnego do obsługi danego urządzenia przesyłowego. Zależy ona więc od obowiązujących przepisów prawnych oraz norm branżowych. Obecnie wskazuje się, iż do ustalania szerokości tych pasów nie jest uprawniony rzeczoznawca majątkowy, z uwagi na brak wiedzy specjalistycznej w tym zakresie. Jednakże do wskazania wielkości tego pasu obowiązany jest przedsiębiorca przesyłowy na żądane właścicieli nieruchomości, co potwierdził WSA w Warszawie w wyroku z dnia 5.12.2012, IISAB/</w:t>
      </w:r>
      <w:proofErr w:type="spellStart"/>
      <w:r w:rsidRPr="005E1D23">
        <w:rPr>
          <w:rFonts w:ascii="Times New Roman" w:eastAsia="Times New Roman" w:hAnsi="Times New Roman" w:cs="Times New Roman"/>
          <w:sz w:val="24"/>
          <w:szCs w:val="24"/>
          <w:lang w:eastAsia="pl-PL"/>
        </w:rPr>
        <w:t>Wa</w:t>
      </w:r>
      <w:proofErr w:type="spellEnd"/>
      <w:r w:rsidRPr="005E1D23">
        <w:rPr>
          <w:rFonts w:ascii="Times New Roman" w:eastAsia="Times New Roman" w:hAnsi="Times New Roman" w:cs="Times New Roman"/>
          <w:sz w:val="24"/>
          <w:szCs w:val="24"/>
          <w:lang w:eastAsia="pl-PL"/>
        </w:rPr>
        <w:t xml:space="preserve"> 390/12.</w:t>
      </w:r>
    </w:p>
    <w:p w:rsidR="005E1D23" w:rsidRPr="005E1D23" w:rsidRDefault="005E1D23" w:rsidP="005E1D23">
      <w:pPr>
        <w:spacing w:after="0" w:line="240" w:lineRule="auto"/>
        <w:rPr>
          <w:rFonts w:ascii="Times New Roman" w:eastAsia="Times New Roman" w:hAnsi="Times New Roman" w:cs="Times New Roman"/>
          <w:sz w:val="24"/>
          <w:szCs w:val="24"/>
          <w:lang w:eastAsia="pl-PL"/>
        </w:rPr>
      </w:pPr>
    </w:p>
    <w:p w:rsidR="005E1D23" w:rsidRPr="005E1D23" w:rsidRDefault="005E1D23" w:rsidP="005E1D23">
      <w:pPr>
        <w:spacing w:after="0" w:line="240" w:lineRule="auto"/>
        <w:rPr>
          <w:rFonts w:ascii="Times New Roman" w:eastAsia="Times New Roman" w:hAnsi="Times New Roman" w:cs="Times New Roman"/>
          <w:sz w:val="24"/>
          <w:szCs w:val="24"/>
          <w:lang w:eastAsia="pl-PL"/>
        </w:rPr>
      </w:pPr>
      <w:r w:rsidRPr="005E1D23">
        <w:rPr>
          <w:rFonts w:ascii="Times New Roman" w:eastAsia="Times New Roman" w:hAnsi="Times New Roman" w:cs="Times New Roman"/>
          <w:sz w:val="24"/>
          <w:szCs w:val="24"/>
          <w:lang w:eastAsia="pl-PL"/>
        </w:rPr>
        <w:t>Autor: aplikant radcowski </w:t>
      </w:r>
      <w:r w:rsidRPr="005E1D23">
        <w:rPr>
          <w:rFonts w:ascii="Times New Roman" w:eastAsia="Times New Roman" w:hAnsi="Times New Roman" w:cs="Times New Roman"/>
          <w:b/>
          <w:bCs/>
          <w:sz w:val="24"/>
          <w:szCs w:val="24"/>
          <w:lang w:eastAsia="pl-PL"/>
        </w:rPr>
        <w:t xml:space="preserve">Magdalena </w:t>
      </w:r>
      <w:proofErr w:type="spellStart"/>
      <w:r w:rsidRPr="005E1D23">
        <w:rPr>
          <w:rFonts w:ascii="Times New Roman" w:eastAsia="Times New Roman" w:hAnsi="Times New Roman" w:cs="Times New Roman"/>
          <w:b/>
          <w:bCs/>
          <w:sz w:val="24"/>
          <w:szCs w:val="24"/>
          <w:lang w:eastAsia="pl-PL"/>
        </w:rPr>
        <w:t>Gorazdowska</w:t>
      </w:r>
      <w:proofErr w:type="spellEnd"/>
    </w:p>
    <w:p w:rsidR="005E1D23" w:rsidRDefault="005E1D23" w:rsidP="005E1D23">
      <w:pPr>
        <w:pStyle w:val="Nagwek1"/>
      </w:pPr>
      <w:bookmarkStart w:id="0" w:name="_GoBack"/>
      <w:bookmarkEnd w:id="0"/>
    </w:p>
    <w:p w:rsidR="005E1D23" w:rsidRPr="00DA1AF3" w:rsidRDefault="005E1D23" w:rsidP="00DA1AF3">
      <w:pPr>
        <w:spacing w:before="100" w:beforeAutospacing="1" w:after="100" w:afterAutospacing="1" w:line="240" w:lineRule="auto"/>
        <w:rPr>
          <w:rFonts w:ascii="Times New Roman" w:eastAsia="Times New Roman" w:hAnsi="Times New Roman" w:cs="Times New Roman"/>
          <w:sz w:val="24"/>
          <w:szCs w:val="24"/>
          <w:lang w:eastAsia="pl-PL"/>
        </w:rPr>
      </w:pPr>
    </w:p>
    <w:p w:rsidR="00DA1AF3" w:rsidRPr="00DA1AF3" w:rsidRDefault="00DA1AF3" w:rsidP="00DA1AF3">
      <w:pPr>
        <w:spacing w:before="100" w:beforeAutospacing="1" w:after="100" w:afterAutospacing="1" w:line="240" w:lineRule="auto"/>
        <w:rPr>
          <w:rFonts w:ascii="Times New Roman" w:eastAsia="Times New Roman" w:hAnsi="Times New Roman" w:cs="Times New Roman"/>
          <w:sz w:val="24"/>
          <w:szCs w:val="24"/>
          <w:lang w:eastAsia="pl-PL"/>
        </w:rPr>
      </w:pPr>
    </w:p>
    <w:p w:rsidR="004223D6" w:rsidRDefault="004223D6"/>
    <w:sectPr w:rsidR="004223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B07EC4"/>
    <w:multiLevelType w:val="multilevel"/>
    <w:tmpl w:val="E3086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6FC1D09"/>
    <w:multiLevelType w:val="multilevel"/>
    <w:tmpl w:val="22766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F3"/>
    <w:rsid w:val="004223D6"/>
    <w:rsid w:val="005E1D23"/>
    <w:rsid w:val="00DA1A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DD37C0-82A4-4DF9-A9DB-D839BE88F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9"/>
    <w:qFormat/>
    <w:rsid w:val="00DA1AF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1AF3"/>
    <w:rPr>
      <w:rFonts w:ascii="Times New Roman" w:eastAsia="Times New Roman" w:hAnsi="Times New Roman" w:cs="Times New Roman"/>
      <w:b/>
      <w:bCs/>
      <w:kern w:val="36"/>
      <w:sz w:val="48"/>
      <w:szCs w:val="48"/>
      <w:lang w:eastAsia="pl-PL"/>
    </w:rPr>
  </w:style>
  <w:style w:type="paragraph" w:styleId="NormalnyWeb">
    <w:name w:val="Normal (Web)"/>
    <w:basedOn w:val="Normalny"/>
    <w:uiPriority w:val="99"/>
    <w:semiHidden/>
    <w:unhideWhenUsed/>
    <w:rsid w:val="00DA1AF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A1AF3"/>
    <w:rPr>
      <w:b/>
      <w:bCs/>
    </w:rPr>
  </w:style>
  <w:style w:type="paragraph" w:customStyle="1" w:styleId="pt1">
    <w:name w:val="pt1"/>
    <w:basedOn w:val="Normalny"/>
    <w:rsid w:val="00DA1AF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mudge">
    <w:name w:val="smudge"/>
    <w:basedOn w:val="Domylnaczcionkaakapitu"/>
    <w:rsid w:val="00DA1AF3"/>
  </w:style>
  <w:style w:type="character" w:styleId="Uwydatnienie">
    <w:name w:val="Emphasis"/>
    <w:basedOn w:val="Domylnaczcionkaakapitu"/>
    <w:uiPriority w:val="20"/>
    <w:qFormat/>
    <w:rsid w:val="00DA1A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261029">
      <w:bodyDiv w:val="1"/>
      <w:marLeft w:val="0"/>
      <w:marRight w:val="0"/>
      <w:marTop w:val="0"/>
      <w:marBottom w:val="0"/>
      <w:divBdr>
        <w:top w:val="none" w:sz="0" w:space="0" w:color="auto"/>
        <w:left w:val="none" w:sz="0" w:space="0" w:color="auto"/>
        <w:bottom w:val="none" w:sz="0" w:space="0" w:color="auto"/>
        <w:right w:val="none" w:sz="0" w:space="0" w:color="auto"/>
      </w:divBdr>
      <w:divsChild>
        <w:div w:id="1656182408">
          <w:marLeft w:val="0"/>
          <w:marRight w:val="0"/>
          <w:marTop w:val="0"/>
          <w:marBottom w:val="0"/>
          <w:divBdr>
            <w:top w:val="none" w:sz="0" w:space="0" w:color="auto"/>
            <w:left w:val="none" w:sz="0" w:space="0" w:color="auto"/>
            <w:bottom w:val="none" w:sz="0" w:space="0" w:color="auto"/>
            <w:right w:val="none" w:sz="0" w:space="0" w:color="auto"/>
          </w:divBdr>
        </w:div>
        <w:div w:id="889538830">
          <w:marLeft w:val="0"/>
          <w:marRight w:val="0"/>
          <w:marTop w:val="0"/>
          <w:marBottom w:val="0"/>
          <w:divBdr>
            <w:top w:val="none" w:sz="0" w:space="0" w:color="auto"/>
            <w:left w:val="none" w:sz="0" w:space="0" w:color="auto"/>
            <w:bottom w:val="none" w:sz="0" w:space="0" w:color="auto"/>
            <w:right w:val="none" w:sz="0" w:space="0" w:color="auto"/>
          </w:divBdr>
        </w:div>
        <w:div w:id="904101882">
          <w:marLeft w:val="0"/>
          <w:marRight w:val="0"/>
          <w:marTop w:val="0"/>
          <w:marBottom w:val="0"/>
          <w:divBdr>
            <w:top w:val="none" w:sz="0" w:space="0" w:color="auto"/>
            <w:left w:val="none" w:sz="0" w:space="0" w:color="auto"/>
            <w:bottom w:val="none" w:sz="0" w:space="0" w:color="auto"/>
            <w:right w:val="none" w:sz="0" w:space="0" w:color="auto"/>
          </w:divBdr>
        </w:div>
        <w:div w:id="1353845335">
          <w:marLeft w:val="0"/>
          <w:marRight w:val="0"/>
          <w:marTop w:val="0"/>
          <w:marBottom w:val="0"/>
          <w:divBdr>
            <w:top w:val="none" w:sz="0" w:space="0" w:color="auto"/>
            <w:left w:val="none" w:sz="0" w:space="0" w:color="auto"/>
            <w:bottom w:val="none" w:sz="0" w:space="0" w:color="auto"/>
            <w:right w:val="none" w:sz="0" w:space="0" w:color="auto"/>
          </w:divBdr>
        </w:div>
        <w:div w:id="748382653">
          <w:marLeft w:val="0"/>
          <w:marRight w:val="0"/>
          <w:marTop w:val="0"/>
          <w:marBottom w:val="0"/>
          <w:divBdr>
            <w:top w:val="none" w:sz="0" w:space="0" w:color="auto"/>
            <w:left w:val="none" w:sz="0" w:space="0" w:color="auto"/>
            <w:bottom w:val="none" w:sz="0" w:space="0" w:color="auto"/>
            <w:right w:val="none" w:sz="0" w:space="0" w:color="auto"/>
          </w:divBdr>
        </w:div>
      </w:divsChild>
    </w:div>
    <w:div w:id="1303382855">
      <w:bodyDiv w:val="1"/>
      <w:marLeft w:val="0"/>
      <w:marRight w:val="0"/>
      <w:marTop w:val="0"/>
      <w:marBottom w:val="0"/>
      <w:divBdr>
        <w:top w:val="none" w:sz="0" w:space="0" w:color="auto"/>
        <w:left w:val="none" w:sz="0" w:space="0" w:color="auto"/>
        <w:bottom w:val="none" w:sz="0" w:space="0" w:color="auto"/>
        <w:right w:val="none" w:sz="0" w:space="0" w:color="auto"/>
      </w:divBdr>
    </w:div>
    <w:div w:id="1593316463">
      <w:bodyDiv w:val="1"/>
      <w:marLeft w:val="0"/>
      <w:marRight w:val="0"/>
      <w:marTop w:val="0"/>
      <w:marBottom w:val="0"/>
      <w:divBdr>
        <w:top w:val="none" w:sz="0" w:space="0" w:color="auto"/>
        <w:left w:val="none" w:sz="0" w:space="0" w:color="auto"/>
        <w:bottom w:val="none" w:sz="0" w:space="0" w:color="auto"/>
        <w:right w:val="none" w:sz="0" w:space="0" w:color="auto"/>
      </w:divBdr>
    </w:div>
    <w:div w:id="2084520351">
      <w:bodyDiv w:val="1"/>
      <w:marLeft w:val="0"/>
      <w:marRight w:val="0"/>
      <w:marTop w:val="0"/>
      <w:marBottom w:val="0"/>
      <w:divBdr>
        <w:top w:val="none" w:sz="0" w:space="0" w:color="auto"/>
        <w:left w:val="none" w:sz="0" w:space="0" w:color="auto"/>
        <w:bottom w:val="none" w:sz="0" w:space="0" w:color="auto"/>
        <w:right w:val="none" w:sz="0" w:space="0" w:color="auto"/>
      </w:divBdr>
      <w:divsChild>
        <w:div w:id="4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porady24.pl/porady_prawne-417.htm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1330</Words>
  <Characters>7980</Characters>
  <Application>Microsoft Office Word</Application>
  <DocSecurity>0</DocSecurity>
  <Lines>66</Lines>
  <Paragraphs>18</Paragraphs>
  <ScaleCrop>false</ScaleCrop>
  <Company>fajowe</Company>
  <LinksUpToDate>false</LinksUpToDate>
  <CharactersWithSpaces>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Zygmunt Świątek</dc:creator>
  <cp:keywords/>
  <dc:description/>
  <cp:lastModifiedBy>Zygmunt Świątek</cp:lastModifiedBy>
  <cp:revision>2</cp:revision>
  <dcterms:created xsi:type="dcterms:W3CDTF">2015-07-25T12:13:00Z</dcterms:created>
  <dcterms:modified xsi:type="dcterms:W3CDTF">2015-07-25T12:19:00Z</dcterms:modified>
</cp:coreProperties>
</file>